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B91" w:rsidRPr="001325D7" w:rsidRDefault="00DA2FC1" w:rsidP="00CC0099">
      <w:pPr>
        <w:spacing w:after="0" w:line="240" w:lineRule="auto"/>
        <w:rPr>
          <w:rFonts w:asciiTheme="minorBidi" w:hAnsiTheme="minorBidi" w:cstheme="minorBidi"/>
          <w:b/>
          <w:bCs/>
          <w:i/>
          <w:sz w:val="28"/>
          <w:szCs w:val="28"/>
          <w:lang w:val="af-ZA"/>
        </w:rPr>
      </w:pPr>
      <w:bookmarkStart w:id="0" w:name="_GoBack"/>
      <w:r w:rsidRPr="001325D7">
        <w:rPr>
          <w:rFonts w:asciiTheme="minorBidi" w:hAnsiTheme="minorBidi" w:cstheme="minorBidi"/>
          <w:b/>
          <w:bCs/>
          <w:sz w:val="28"/>
          <w:szCs w:val="28"/>
          <w:lang w:val="af-ZA"/>
        </w:rPr>
        <w:t>Roel Kuiper</w:t>
      </w:r>
      <w:r w:rsidR="00A33B91" w:rsidRPr="001325D7">
        <w:rPr>
          <w:rFonts w:asciiTheme="minorBidi" w:hAnsiTheme="minorBidi" w:cstheme="minorBidi"/>
          <w:b/>
          <w:bCs/>
          <w:sz w:val="28"/>
          <w:szCs w:val="28"/>
          <w:lang w:val="af-ZA"/>
        </w:rPr>
        <w:t xml:space="preserve">: </w:t>
      </w:r>
      <w:r w:rsidR="00A33B91" w:rsidRPr="001325D7">
        <w:rPr>
          <w:rFonts w:asciiTheme="minorBidi" w:hAnsiTheme="minorBidi" w:cstheme="minorBidi"/>
          <w:b/>
          <w:bCs/>
          <w:i/>
          <w:sz w:val="28"/>
          <w:szCs w:val="28"/>
          <w:lang w:val="af-ZA"/>
        </w:rPr>
        <w:t>The Antirevolutionary: Life and Works of Groen van Prinsterer (1801-1876)</w:t>
      </w:r>
    </w:p>
    <w:p w:rsidR="007420B6" w:rsidRPr="001325D7" w:rsidRDefault="00A33B91" w:rsidP="00CC0099">
      <w:pPr>
        <w:spacing w:after="0" w:line="240" w:lineRule="auto"/>
        <w:rPr>
          <w:rFonts w:asciiTheme="minorBidi" w:hAnsiTheme="minorBidi" w:cstheme="minorBidi"/>
          <w:b/>
          <w:bCs/>
          <w:sz w:val="28"/>
          <w:szCs w:val="28"/>
          <w:lang w:val="af-ZA"/>
        </w:rPr>
      </w:pPr>
      <w:r w:rsidRPr="001325D7">
        <w:rPr>
          <w:rFonts w:asciiTheme="minorBidi" w:hAnsiTheme="minorBidi" w:cstheme="minorBidi"/>
          <w:b/>
          <w:bCs/>
          <w:sz w:val="28"/>
          <w:szCs w:val="28"/>
          <w:lang w:val="af-ZA"/>
        </w:rPr>
        <w:t>(Eugene, Oregon: Pickw</w:t>
      </w:r>
      <w:r w:rsidR="0011551D" w:rsidRPr="001325D7">
        <w:rPr>
          <w:rFonts w:asciiTheme="minorBidi" w:hAnsiTheme="minorBidi" w:cstheme="minorBidi"/>
          <w:b/>
          <w:bCs/>
          <w:sz w:val="28"/>
          <w:szCs w:val="28"/>
          <w:lang w:val="af-ZA"/>
        </w:rPr>
        <w:t xml:space="preserve">ick Publications, 2025) ISBN: </w:t>
      </w:r>
      <w:r w:rsidRPr="001325D7">
        <w:rPr>
          <w:rFonts w:asciiTheme="minorBidi" w:hAnsiTheme="minorBidi" w:cstheme="minorBidi"/>
          <w:b/>
          <w:bCs/>
          <w:sz w:val="28"/>
          <w:szCs w:val="28"/>
          <w:lang w:val="af-ZA"/>
        </w:rPr>
        <w:t>pbk, £25, pp. 284 + ix</w:t>
      </w:r>
      <w:r w:rsidR="00CC0099" w:rsidRPr="001325D7">
        <w:rPr>
          <w:rFonts w:asciiTheme="minorBidi" w:hAnsiTheme="minorBidi" w:cstheme="minorBidi"/>
          <w:b/>
          <w:bCs/>
          <w:sz w:val="28"/>
          <w:szCs w:val="28"/>
          <w:lang w:val="af-ZA"/>
        </w:rPr>
        <w:t>.</w:t>
      </w:r>
      <w:r w:rsidR="005965F9" w:rsidRPr="001325D7">
        <w:rPr>
          <w:rFonts w:asciiTheme="minorBidi" w:hAnsiTheme="minorBidi" w:cstheme="minorBidi"/>
          <w:b/>
          <w:bCs/>
          <w:sz w:val="28"/>
          <w:szCs w:val="28"/>
          <w:lang w:val="af-ZA"/>
        </w:rPr>
        <w:t>)</w:t>
      </w:r>
    </w:p>
    <w:bookmarkEnd w:id="0"/>
    <w:p w:rsidR="007420B6" w:rsidRPr="00DD39CF" w:rsidRDefault="007420B6" w:rsidP="00CC0099">
      <w:pPr>
        <w:spacing w:after="0" w:line="240" w:lineRule="auto"/>
        <w:rPr>
          <w:rFonts w:asciiTheme="minorBidi" w:hAnsiTheme="minorBidi" w:cstheme="minorBidi"/>
          <w:lang w:val="af-ZA"/>
        </w:rPr>
      </w:pPr>
    </w:p>
    <w:p w:rsidR="00A33B91" w:rsidRPr="00DD39CF" w:rsidRDefault="00A33B91" w:rsidP="00CC0099">
      <w:pPr>
        <w:spacing w:after="0" w:line="240" w:lineRule="auto"/>
        <w:rPr>
          <w:rFonts w:asciiTheme="minorBidi" w:hAnsiTheme="minorBidi" w:cstheme="minorBidi"/>
          <w:b/>
          <w:bCs/>
          <w:i/>
          <w:iCs/>
          <w:lang w:val="af-ZA"/>
        </w:rPr>
      </w:pPr>
      <w:r w:rsidRPr="00DD39CF">
        <w:rPr>
          <w:rFonts w:asciiTheme="minorBidi" w:hAnsiTheme="minorBidi" w:cstheme="minorBidi"/>
          <w:b/>
          <w:bCs/>
          <w:i/>
          <w:iCs/>
          <w:lang w:val="af-ZA"/>
        </w:rPr>
        <w:t>Steve Bishop</w:t>
      </w:r>
    </w:p>
    <w:p w:rsidR="00A33B91" w:rsidRPr="00DD39CF" w:rsidRDefault="00A33B91" w:rsidP="00CC0099">
      <w:pPr>
        <w:spacing w:after="0" w:line="240" w:lineRule="auto"/>
        <w:rPr>
          <w:rFonts w:asciiTheme="minorBidi" w:hAnsiTheme="minorBidi" w:cstheme="minorBidi"/>
          <w:b/>
          <w:bCs/>
          <w:i/>
          <w:iCs/>
          <w:lang w:val="af-ZA"/>
        </w:rPr>
      </w:pPr>
      <w:r w:rsidRPr="00DD39CF">
        <w:rPr>
          <w:rFonts w:asciiTheme="minorBidi" w:hAnsiTheme="minorBidi" w:cstheme="minorBidi"/>
          <w:b/>
          <w:bCs/>
          <w:i/>
          <w:iCs/>
          <w:lang w:val="af-ZA"/>
        </w:rPr>
        <w:t>Research Associate</w:t>
      </w:r>
    </w:p>
    <w:p w:rsidR="00A33B91" w:rsidRPr="00DD39CF" w:rsidRDefault="00A33B91" w:rsidP="00CC0099">
      <w:pPr>
        <w:spacing w:after="0" w:line="240" w:lineRule="auto"/>
        <w:rPr>
          <w:rFonts w:asciiTheme="minorBidi" w:hAnsiTheme="minorBidi" w:cstheme="minorBidi"/>
          <w:b/>
          <w:bCs/>
          <w:i/>
          <w:iCs/>
          <w:lang w:val="af-ZA"/>
        </w:rPr>
      </w:pPr>
      <w:r w:rsidRPr="00DD39CF">
        <w:rPr>
          <w:rFonts w:asciiTheme="minorBidi" w:hAnsiTheme="minorBidi" w:cstheme="minorBidi"/>
          <w:b/>
          <w:bCs/>
          <w:i/>
          <w:iCs/>
          <w:lang w:val="af-ZA"/>
        </w:rPr>
        <w:t>Union Theological College, Belfast</w:t>
      </w:r>
    </w:p>
    <w:p w:rsidR="00A33B91" w:rsidRPr="00DD39CF" w:rsidRDefault="00A33B91" w:rsidP="00CC0099">
      <w:pPr>
        <w:spacing w:after="0" w:line="240" w:lineRule="auto"/>
        <w:rPr>
          <w:rFonts w:asciiTheme="minorBidi" w:hAnsiTheme="minorBidi" w:cstheme="minorBidi"/>
          <w:lang w:val="af-ZA"/>
        </w:rPr>
      </w:pPr>
    </w:p>
    <w:p w:rsidR="007420B6" w:rsidRPr="001325D7" w:rsidRDefault="00DA2FC1" w:rsidP="003271AB">
      <w:pPr>
        <w:spacing w:after="0" w:line="240" w:lineRule="auto"/>
        <w:jc w:val="both"/>
        <w:rPr>
          <w:rFonts w:ascii="Arial" w:hAnsi="Arial" w:cs="Arial"/>
          <w:color w:val="0F0F0F"/>
          <w:sz w:val="22"/>
          <w:szCs w:val="22"/>
          <w:lang w:val="af-ZA"/>
        </w:rPr>
      </w:pPr>
      <w:r w:rsidRPr="001325D7">
        <w:rPr>
          <w:rFonts w:ascii="Arial" w:hAnsi="Arial" w:cs="Arial"/>
          <w:sz w:val="22"/>
          <w:szCs w:val="22"/>
          <w:lang w:val="af-ZA"/>
        </w:rPr>
        <w:t>Groen van Prinsterer is not a name familiar to most</w:t>
      </w:r>
      <w:r w:rsidR="00111AFC" w:rsidRPr="001325D7">
        <w:rPr>
          <w:rFonts w:ascii="Arial" w:hAnsi="Arial" w:cs="Arial"/>
          <w:sz w:val="22"/>
          <w:szCs w:val="22"/>
          <w:lang w:val="af-ZA"/>
        </w:rPr>
        <w:t>,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 yet his legacy is profound. He was the spiritual godfather of the Dutch theologian and statesman Abraham Kuyper</w:t>
      </w:r>
      <w:r w:rsidR="007F39AF" w:rsidRPr="001325D7">
        <w:rPr>
          <w:rFonts w:ascii="Arial" w:hAnsi="Arial" w:cs="Arial"/>
          <w:sz w:val="22"/>
          <w:szCs w:val="22"/>
          <w:lang w:val="af-ZA"/>
        </w:rPr>
        <w:t xml:space="preserve"> 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(1837-1920). Lloyd-Jones </w:t>
      </w:r>
      <w:r w:rsidR="00D07BE5" w:rsidRPr="001325D7">
        <w:rPr>
          <w:rFonts w:ascii="Arial" w:hAnsi="Arial" w:cs="Arial"/>
          <w:sz w:val="22"/>
          <w:szCs w:val="22"/>
          <w:lang w:val="af-ZA"/>
        </w:rPr>
        <w:t xml:space="preserve">(1987) 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described him as </w:t>
      </w:r>
      <w:r w:rsidR="00BB71D3" w:rsidRPr="001325D7">
        <w:rPr>
          <w:rFonts w:ascii="Arial" w:hAnsi="Arial" w:cs="Arial"/>
          <w:color w:val="0F0F0F"/>
          <w:sz w:val="22"/>
          <w:szCs w:val="22"/>
          <w:lang w:val="af-ZA"/>
        </w:rPr>
        <w:t>“</w:t>
      </w:r>
      <w:r w:rsidRPr="001325D7">
        <w:rPr>
          <w:rFonts w:ascii="Arial" w:hAnsi="Arial" w:cs="Arial"/>
          <w:b/>
          <w:color w:val="0F0F0F"/>
          <w:sz w:val="22"/>
          <w:szCs w:val="22"/>
          <w:lang w:val="af-ZA"/>
        </w:rPr>
        <w:t xml:space="preserve">… </w:t>
      </w:r>
      <w:r w:rsidRPr="001325D7">
        <w:rPr>
          <w:rFonts w:ascii="Arial" w:hAnsi="Arial" w:cs="Arial"/>
          <w:color w:val="0F0F0F"/>
          <w:sz w:val="22"/>
          <w:szCs w:val="22"/>
          <w:lang w:val="af-ZA"/>
        </w:rPr>
        <w:t>a fascinating and most important man. … He was</w:t>
      </w:r>
      <w:r w:rsidR="007F39AF" w:rsidRPr="001325D7">
        <w:rPr>
          <w:rFonts w:ascii="Arial" w:hAnsi="Arial" w:cs="Arial"/>
          <w:color w:val="0F0F0F"/>
          <w:sz w:val="22"/>
          <w:szCs w:val="22"/>
          <w:lang w:val="af-ZA"/>
        </w:rPr>
        <w:t>,</w:t>
      </w:r>
      <w:r w:rsidRPr="001325D7">
        <w:rPr>
          <w:rFonts w:ascii="Arial" w:hAnsi="Arial" w:cs="Arial"/>
          <w:color w:val="0F0F0F"/>
          <w:sz w:val="22"/>
          <w:szCs w:val="22"/>
          <w:lang w:val="af-ZA"/>
        </w:rPr>
        <w:t xml:space="preserve"> on all accounts</w:t>
      </w:r>
      <w:r w:rsidR="007F39AF" w:rsidRPr="001325D7">
        <w:rPr>
          <w:rFonts w:ascii="Arial" w:hAnsi="Arial" w:cs="Arial"/>
          <w:color w:val="0F0F0F"/>
          <w:sz w:val="22"/>
          <w:szCs w:val="22"/>
          <w:lang w:val="af-ZA"/>
        </w:rPr>
        <w:t>,</w:t>
      </w:r>
      <w:r w:rsidRPr="001325D7">
        <w:rPr>
          <w:rFonts w:ascii="Arial" w:hAnsi="Arial" w:cs="Arial"/>
          <w:color w:val="0F0F0F"/>
          <w:sz w:val="22"/>
          <w:szCs w:val="22"/>
          <w:lang w:val="af-ZA"/>
        </w:rPr>
        <w:t xml:space="preserve"> a most remarkable man.” Groen was an aristocrat, journalist, historian, politician, </w:t>
      </w:r>
      <w:r w:rsidR="004A5C08" w:rsidRPr="001325D7">
        <w:rPr>
          <w:rFonts w:ascii="Arial" w:hAnsi="Arial" w:cs="Arial"/>
          <w:color w:val="0F0F0F"/>
          <w:sz w:val="22"/>
          <w:szCs w:val="22"/>
          <w:lang w:val="af-ZA"/>
        </w:rPr>
        <w:t>and</w:t>
      </w:r>
      <w:r w:rsidRPr="001325D7">
        <w:rPr>
          <w:rFonts w:ascii="Arial" w:hAnsi="Arial" w:cs="Arial"/>
          <w:color w:val="0F0F0F"/>
          <w:sz w:val="22"/>
          <w:szCs w:val="22"/>
          <w:lang w:val="af-ZA"/>
        </w:rPr>
        <w:t xml:space="preserve"> school reformer, but above all</w:t>
      </w:r>
      <w:r w:rsidR="00586BE8" w:rsidRPr="001325D7">
        <w:rPr>
          <w:rFonts w:ascii="Arial" w:hAnsi="Arial" w:cs="Arial"/>
          <w:color w:val="0F0F0F"/>
          <w:sz w:val="22"/>
          <w:szCs w:val="22"/>
          <w:lang w:val="af-ZA"/>
        </w:rPr>
        <w:t>,</w:t>
      </w:r>
      <w:r w:rsidRPr="001325D7">
        <w:rPr>
          <w:rFonts w:ascii="Arial" w:hAnsi="Arial" w:cs="Arial"/>
          <w:color w:val="0F0F0F"/>
          <w:sz w:val="22"/>
          <w:szCs w:val="22"/>
          <w:lang w:val="af-ZA"/>
        </w:rPr>
        <w:t xml:space="preserve"> a Christian. His Christian faith infused all that he did.</w:t>
      </w:r>
      <w:r w:rsidR="003A0E59" w:rsidRPr="001325D7">
        <w:rPr>
          <w:rFonts w:ascii="Arial" w:hAnsi="Arial" w:cs="Arial"/>
          <w:color w:val="0F0F0F"/>
          <w:sz w:val="22"/>
          <w:szCs w:val="22"/>
          <w:lang w:val="af-ZA"/>
        </w:rPr>
        <w:t xml:space="preserve"> </w:t>
      </w:r>
    </w:p>
    <w:p w:rsidR="007F39AF" w:rsidRPr="001325D7" w:rsidRDefault="007F39AF" w:rsidP="003271AB">
      <w:pPr>
        <w:spacing w:after="0" w:line="240" w:lineRule="auto"/>
        <w:jc w:val="both"/>
        <w:rPr>
          <w:rFonts w:ascii="Arial" w:hAnsi="Arial" w:cs="Arial"/>
          <w:color w:val="0F0F0F"/>
          <w:sz w:val="22"/>
          <w:szCs w:val="22"/>
          <w:lang w:val="af-ZA"/>
        </w:rPr>
      </w:pPr>
    </w:p>
    <w:p w:rsidR="00C20462" w:rsidRPr="001325D7" w:rsidRDefault="00C20462" w:rsidP="003271AB">
      <w:pPr>
        <w:spacing w:after="0" w:line="240" w:lineRule="auto"/>
        <w:jc w:val="both"/>
        <w:rPr>
          <w:rFonts w:ascii="Arial" w:hAnsi="Arial" w:cs="Arial"/>
          <w:color w:val="0F0F0F"/>
          <w:sz w:val="22"/>
          <w:szCs w:val="22"/>
          <w:lang w:val="af-ZA"/>
        </w:rPr>
      </w:pPr>
      <w:r w:rsidRPr="001325D7">
        <w:rPr>
          <w:rFonts w:ascii="Arial" w:hAnsi="Arial" w:cs="Arial"/>
          <w:color w:val="0F0F0F"/>
          <w:sz w:val="22"/>
          <w:szCs w:val="22"/>
          <w:lang w:val="af-ZA"/>
        </w:rPr>
        <w:t>A</w:t>
      </w:r>
      <w:r w:rsidR="007F39AF" w:rsidRPr="001325D7">
        <w:rPr>
          <w:rFonts w:ascii="Arial" w:hAnsi="Arial" w:cs="Arial"/>
          <w:color w:val="0F0F0F"/>
          <w:sz w:val="22"/>
          <w:szCs w:val="22"/>
          <w:lang w:val="af-ZA"/>
        </w:rPr>
        <w:t>lthough, as</w:t>
      </w:r>
      <w:r w:rsidRPr="001325D7">
        <w:rPr>
          <w:rFonts w:ascii="Arial" w:hAnsi="Arial" w:cs="Arial"/>
          <w:color w:val="0F0F0F"/>
          <w:sz w:val="22"/>
          <w:szCs w:val="22"/>
          <w:lang w:val="af-ZA"/>
        </w:rPr>
        <w:t xml:space="preserve"> Kuiper notes, Groen</w:t>
      </w:r>
      <w:r w:rsidR="000133A4" w:rsidRPr="001325D7">
        <w:rPr>
          <w:rFonts w:ascii="Arial" w:hAnsi="Arial" w:cs="Arial"/>
          <w:color w:val="0F0F0F"/>
          <w:sz w:val="22"/>
          <w:szCs w:val="22"/>
          <w:lang w:val="af-ZA"/>
        </w:rPr>
        <w:t>’</w:t>
      </w:r>
      <w:r w:rsidRPr="001325D7">
        <w:rPr>
          <w:rFonts w:ascii="Arial" w:hAnsi="Arial" w:cs="Arial"/>
          <w:color w:val="0F0F0F"/>
          <w:sz w:val="22"/>
          <w:szCs w:val="22"/>
          <w:lang w:val="af-ZA"/>
        </w:rPr>
        <w:t>s “greatest influence would come after his death”</w:t>
      </w:r>
      <w:r w:rsidR="00284A20" w:rsidRPr="001325D7">
        <w:rPr>
          <w:rFonts w:ascii="Arial" w:hAnsi="Arial" w:cs="Arial"/>
          <w:color w:val="0F0F0F"/>
          <w:sz w:val="22"/>
          <w:szCs w:val="22"/>
          <w:lang w:val="af-ZA"/>
        </w:rPr>
        <w:t xml:space="preserve"> (vii)</w:t>
      </w:r>
      <w:r w:rsidRPr="001325D7">
        <w:rPr>
          <w:rFonts w:ascii="Arial" w:hAnsi="Arial" w:cs="Arial"/>
          <w:color w:val="0F0F0F"/>
          <w:sz w:val="22"/>
          <w:szCs w:val="22"/>
          <w:lang w:val="af-ZA"/>
        </w:rPr>
        <w:t>. This is the biography of a figure who stood at the crossroads of Dutch religion, politics, and historiography.</w:t>
      </w:r>
    </w:p>
    <w:p w:rsidR="00C20462" w:rsidRPr="001325D7" w:rsidRDefault="00C20462" w:rsidP="003271AB">
      <w:pPr>
        <w:spacing w:after="0" w:line="240" w:lineRule="auto"/>
        <w:jc w:val="both"/>
        <w:rPr>
          <w:rFonts w:ascii="Arial" w:hAnsi="Arial" w:cs="Arial"/>
          <w:color w:val="0F0F0F"/>
          <w:sz w:val="22"/>
          <w:szCs w:val="22"/>
          <w:lang w:val="af-ZA"/>
        </w:rPr>
      </w:pPr>
    </w:p>
    <w:p w:rsidR="007420B6" w:rsidRPr="001325D7" w:rsidRDefault="00C20462" w:rsidP="003271AB">
      <w:pPr>
        <w:spacing w:after="0" w:line="240" w:lineRule="auto"/>
        <w:jc w:val="both"/>
        <w:rPr>
          <w:rFonts w:ascii="Arial" w:hAnsi="Arial" w:cs="Arial"/>
          <w:color w:val="0F0F0F"/>
          <w:sz w:val="22"/>
          <w:szCs w:val="22"/>
          <w:lang w:val="af-ZA"/>
        </w:rPr>
      </w:pPr>
      <w:r w:rsidRPr="001325D7">
        <w:rPr>
          <w:rFonts w:ascii="Arial" w:hAnsi="Arial" w:cs="Arial"/>
          <w:color w:val="0F0F0F"/>
          <w:sz w:val="22"/>
          <w:szCs w:val="22"/>
          <w:lang w:val="af-ZA"/>
        </w:rPr>
        <w:t xml:space="preserve">Kuiper observes that Groen was “a pioneer in Dutch historiography, a leader of the ‘antirevolutionary’ faction in Parliament, a leader of the religious revival in the Netherlands, a leader of the international </w:t>
      </w:r>
      <w:r w:rsidRPr="001325D7">
        <w:rPr>
          <w:rFonts w:ascii="Arial" w:hAnsi="Arial" w:cs="Arial"/>
          <w:i/>
          <w:iCs/>
          <w:color w:val="0F0F0F"/>
          <w:sz w:val="22"/>
          <w:szCs w:val="22"/>
          <w:lang w:val="af-ZA"/>
        </w:rPr>
        <w:t>Réveil</w:t>
      </w:r>
      <w:r w:rsidRPr="001325D7">
        <w:rPr>
          <w:rFonts w:ascii="Arial" w:hAnsi="Arial" w:cs="Arial"/>
          <w:color w:val="0F0F0F"/>
          <w:sz w:val="22"/>
          <w:szCs w:val="22"/>
          <w:lang w:val="af-ZA"/>
        </w:rPr>
        <w:t xml:space="preserve"> movement, and a prominent layman in the Dutch Reformed Church” (</w:t>
      </w:r>
      <w:r w:rsidR="00284A20" w:rsidRPr="001325D7">
        <w:rPr>
          <w:rFonts w:ascii="Arial" w:hAnsi="Arial" w:cs="Arial"/>
          <w:color w:val="0F0F0F"/>
          <w:sz w:val="22"/>
          <w:szCs w:val="22"/>
          <w:lang w:val="af-ZA"/>
        </w:rPr>
        <w:t>viii</w:t>
      </w:r>
      <w:r w:rsidRPr="001325D7">
        <w:rPr>
          <w:rFonts w:ascii="Arial" w:hAnsi="Arial" w:cs="Arial"/>
          <w:color w:val="0F0F0F"/>
          <w:sz w:val="22"/>
          <w:szCs w:val="22"/>
          <w:lang w:val="af-ZA"/>
        </w:rPr>
        <w:t>). Public life was Groen’s natural arena; “he played his role in the public arena through the spoken and written word” (1)</w:t>
      </w:r>
      <w:r w:rsidR="00802F2B" w:rsidRPr="001325D7">
        <w:rPr>
          <w:rFonts w:ascii="Arial" w:hAnsi="Arial" w:cs="Arial"/>
          <w:color w:val="0F0F0F"/>
          <w:sz w:val="22"/>
          <w:szCs w:val="22"/>
          <w:lang w:val="af-ZA"/>
        </w:rPr>
        <w:t>.</w:t>
      </w:r>
    </w:p>
    <w:p w:rsidR="00C20462" w:rsidRPr="001325D7" w:rsidRDefault="00C20462" w:rsidP="003271AB">
      <w:pPr>
        <w:spacing w:after="0" w:line="240" w:lineRule="auto"/>
        <w:jc w:val="both"/>
        <w:rPr>
          <w:rFonts w:ascii="Arial" w:hAnsi="Arial" w:cs="Arial"/>
          <w:color w:val="0F0F0F"/>
          <w:sz w:val="22"/>
          <w:szCs w:val="22"/>
          <w:lang w:val="af-ZA"/>
        </w:rPr>
      </w:pPr>
    </w:p>
    <w:p w:rsidR="007420B6" w:rsidRPr="001325D7" w:rsidRDefault="00DA2FC1" w:rsidP="003271AB">
      <w:pPr>
        <w:spacing w:after="0" w:line="240" w:lineRule="auto"/>
        <w:jc w:val="both"/>
        <w:rPr>
          <w:rFonts w:ascii="Arial" w:hAnsi="Arial" w:cs="Arial"/>
          <w:color w:val="0F0F0F"/>
          <w:sz w:val="22"/>
          <w:szCs w:val="22"/>
          <w:lang w:val="af-ZA"/>
        </w:rPr>
      </w:pPr>
      <w:r w:rsidRPr="001325D7">
        <w:rPr>
          <w:rFonts w:ascii="Arial" w:hAnsi="Arial" w:cs="Arial"/>
          <w:color w:val="0F0F0F"/>
          <w:sz w:val="22"/>
          <w:szCs w:val="22"/>
          <w:lang w:val="af-ZA"/>
        </w:rPr>
        <w:t xml:space="preserve">There is a paucity of book-length material in English on </w:t>
      </w:r>
      <w:r w:rsidR="007F39AF" w:rsidRPr="001325D7">
        <w:rPr>
          <w:rFonts w:ascii="Arial" w:hAnsi="Arial" w:cs="Arial"/>
          <w:color w:val="0F0F0F"/>
          <w:sz w:val="22"/>
          <w:szCs w:val="22"/>
          <w:lang w:val="af-ZA"/>
        </w:rPr>
        <w:t>Groen,</w:t>
      </w:r>
      <w:r w:rsidRPr="001325D7">
        <w:rPr>
          <w:rFonts w:ascii="Arial" w:hAnsi="Arial" w:cs="Arial"/>
          <w:color w:val="0F0F0F"/>
          <w:sz w:val="22"/>
          <w:szCs w:val="22"/>
          <w:lang w:val="af-ZA"/>
        </w:rPr>
        <w:t xml:space="preserve"> although </w:t>
      </w:r>
      <w:r w:rsidR="00802F2B" w:rsidRPr="001325D7">
        <w:rPr>
          <w:rFonts w:ascii="Arial" w:hAnsi="Arial" w:cs="Arial"/>
          <w:color w:val="0F0F0F"/>
          <w:sz w:val="22"/>
          <w:szCs w:val="22"/>
          <w:lang w:val="af-ZA"/>
        </w:rPr>
        <w:t xml:space="preserve">the </w:t>
      </w:r>
      <w:r w:rsidRPr="001325D7">
        <w:rPr>
          <w:rFonts w:ascii="Arial" w:hAnsi="Arial" w:cs="Arial"/>
          <w:color w:val="0F0F0F"/>
          <w:sz w:val="22"/>
          <w:szCs w:val="22"/>
          <w:lang w:val="af-ZA"/>
        </w:rPr>
        <w:t>most notable are</w:t>
      </w:r>
      <w:r w:rsidR="000F5D79" w:rsidRPr="001325D7">
        <w:rPr>
          <w:rFonts w:ascii="Arial" w:hAnsi="Arial" w:cs="Arial"/>
          <w:color w:val="0F0F0F"/>
          <w:sz w:val="22"/>
          <w:szCs w:val="22"/>
          <w:lang w:val="af-ZA"/>
        </w:rPr>
        <w:t xml:space="preserve"> (Essen </w:t>
      </w:r>
      <w:r w:rsidR="00E40CBA" w:rsidRPr="001325D7">
        <w:rPr>
          <w:rFonts w:ascii="Arial" w:hAnsi="Arial" w:cs="Arial"/>
          <w:color w:val="0F0F0F"/>
          <w:sz w:val="22"/>
          <w:szCs w:val="22"/>
          <w:lang w:val="af-ZA"/>
        </w:rPr>
        <w:t>&amp;</w:t>
      </w:r>
      <w:r w:rsidR="000F5D79" w:rsidRPr="001325D7">
        <w:rPr>
          <w:rFonts w:ascii="Arial" w:hAnsi="Arial" w:cs="Arial"/>
          <w:color w:val="0F0F0F"/>
          <w:sz w:val="22"/>
          <w:szCs w:val="22"/>
          <w:lang w:val="af-ZA"/>
        </w:rPr>
        <w:t xml:space="preserve"> Morton, 1990), Schutte (2016), Smitskamp (2017), and Van Dyke (2019). </w:t>
      </w:r>
    </w:p>
    <w:p w:rsidR="007420B6" w:rsidRPr="001325D7" w:rsidRDefault="007420B6" w:rsidP="003271AB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</w:p>
    <w:p w:rsidR="007420B6" w:rsidRPr="001325D7" w:rsidRDefault="00802F2B" w:rsidP="003271AB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  <w:r w:rsidRPr="001325D7">
        <w:rPr>
          <w:rFonts w:ascii="Arial" w:hAnsi="Arial" w:cs="Arial"/>
          <w:sz w:val="22"/>
          <w:szCs w:val="22"/>
          <w:lang w:val="af-ZA"/>
        </w:rPr>
        <w:t>This biography</w:t>
      </w:r>
      <w:r w:rsidR="007F39AF" w:rsidRPr="001325D7">
        <w:rPr>
          <w:rFonts w:ascii="Arial" w:hAnsi="Arial" w:cs="Arial"/>
          <w:sz w:val="22"/>
          <w:szCs w:val="22"/>
          <w:lang w:val="af-ZA"/>
        </w:rPr>
        <w:t>,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 which traces Groen</w:t>
      </w:r>
      <w:r w:rsidR="00BF0AB4" w:rsidRPr="001325D7">
        <w:rPr>
          <w:rFonts w:ascii="Arial" w:hAnsi="Arial" w:cs="Arial"/>
          <w:sz w:val="22"/>
          <w:szCs w:val="22"/>
          <w:lang w:val="af-ZA"/>
        </w:rPr>
        <w:t>’</w:t>
      </w:r>
      <w:r w:rsidRPr="001325D7">
        <w:rPr>
          <w:rFonts w:ascii="Arial" w:hAnsi="Arial" w:cs="Arial"/>
          <w:sz w:val="22"/>
          <w:szCs w:val="22"/>
          <w:lang w:val="af-ZA"/>
        </w:rPr>
        <w:t>s life and works set against the turbulent backdrop of nineteenth-century Europe, is a welcome addition. It is an English translation by Harry Van Dyke of the original Dutch.</w:t>
      </w:r>
      <w:r w:rsidR="00C20462" w:rsidRPr="001325D7">
        <w:rPr>
          <w:rFonts w:ascii="Arial" w:hAnsi="Arial" w:cs="Arial"/>
          <w:sz w:val="22"/>
          <w:szCs w:val="22"/>
          <w:lang w:val="af-ZA"/>
        </w:rPr>
        <w:t xml:space="preserve"> </w:t>
      </w:r>
      <w:r w:rsidRPr="001325D7">
        <w:rPr>
          <w:rFonts w:ascii="Arial" w:hAnsi="Arial" w:cs="Arial"/>
          <w:sz w:val="22"/>
          <w:szCs w:val="22"/>
          <w:lang w:val="af-ZA"/>
        </w:rPr>
        <w:t>T</w:t>
      </w:r>
      <w:r w:rsidR="00C20462" w:rsidRPr="001325D7">
        <w:rPr>
          <w:rFonts w:ascii="Arial" w:hAnsi="Arial" w:cs="Arial"/>
          <w:sz w:val="22"/>
          <w:szCs w:val="22"/>
          <w:lang w:val="af-ZA"/>
        </w:rPr>
        <w:t>he biography ably traces the development of Groen’s views.</w:t>
      </w:r>
    </w:p>
    <w:p w:rsidR="007420B6" w:rsidRPr="001325D7" w:rsidRDefault="007420B6" w:rsidP="003271AB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</w:p>
    <w:p w:rsidR="007420B6" w:rsidRPr="001325D7" w:rsidRDefault="00DA2FC1" w:rsidP="003271AB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  <w:r w:rsidRPr="001325D7">
        <w:rPr>
          <w:rFonts w:ascii="Arial" w:hAnsi="Arial" w:cs="Arial"/>
          <w:sz w:val="22"/>
          <w:szCs w:val="22"/>
          <w:lang w:val="af-ZA"/>
        </w:rPr>
        <w:t>It reveals his steadfast opposition to secular revolution and his commitment to grounding civil society in Christian faith, showing him to be a thinker out of step with his own era but essential to the formation of a new tradition. As Kuiper points out</w:t>
      </w:r>
      <w:r w:rsidR="007F39AF" w:rsidRPr="001325D7">
        <w:rPr>
          <w:rFonts w:ascii="Arial" w:hAnsi="Arial" w:cs="Arial"/>
          <w:sz w:val="22"/>
          <w:szCs w:val="22"/>
          <w:lang w:val="af-ZA"/>
        </w:rPr>
        <w:t>,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 “Groen’s discovery was now that the antithesis between faith and unbelief had to be seen as the preeminent conflict in history. He discovered that unbelief, too, is a dynamic force that sets everything on fire—no less dynamic than Christian </w:t>
      </w:r>
      <w:r w:rsidR="00111AFC" w:rsidRPr="001325D7">
        <w:rPr>
          <w:rFonts w:ascii="Arial" w:hAnsi="Arial" w:cs="Arial"/>
          <w:sz w:val="22"/>
          <w:szCs w:val="22"/>
          <w:lang w:val="af-ZA"/>
        </w:rPr>
        <w:t>f</w:t>
      </w:r>
      <w:r w:rsidRPr="001325D7">
        <w:rPr>
          <w:rFonts w:ascii="Arial" w:hAnsi="Arial" w:cs="Arial"/>
          <w:sz w:val="22"/>
          <w:szCs w:val="22"/>
          <w:lang w:val="af-ZA"/>
        </w:rPr>
        <w:t>aith when it is a principle of life” (43).</w:t>
      </w:r>
    </w:p>
    <w:p w:rsidR="007F39AF" w:rsidRPr="001325D7" w:rsidRDefault="007F39AF" w:rsidP="003271AB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</w:p>
    <w:p w:rsidR="00C20462" w:rsidRPr="001325D7" w:rsidRDefault="00C20462" w:rsidP="003271AB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  <w:r w:rsidRPr="001325D7">
        <w:rPr>
          <w:rFonts w:ascii="Arial" w:hAnsi="Arial" w:cs="Arial"/>
          <w:sz w:val="22"/>
          <w:szCs w:val="22"/>
          <w:lang w:val="af-ZA"/>
        </w:rPr>
        <w:t>Groen was also a journalis</w:t>
      </w:r>
      <w:r w:rsidR="00802F2B" w:rsidRPr="001325D7">
        <w:rPr>
          <w:rFonts w:ascii="Arial" w:hAnsi="Arial" w:cs="Arial"/>
          <w:sz w:val="22"/>
          <w:szCs w:val="22"/>
          <w:lang w:val="af-ZA"/>
        </w:rPr>
        <w:t>t.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 His </w:t>
      </w:r>
      <w:r w:rsidRPr="001325D7">
        <w:rPr>
          <w:rFonts w:ascii="Arial" w:hAnsi="Arial" w:cs="Arial"/>
          <w:i/>
          <w:iCs/>
          <w:sz w:val="22"/>
          <w:szCs w:val="22"/>
          <w:lang w:val="af-ZA"/>
        </w:rPr>
        <w:t>Netherlandic Reflections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 (1829), </w:t>
      </w:r>
      <w:r w:rsidR="00802F2B" w:rsidRPr="001325D7">
        <w:rPr>
          <w:rFonts w:ascii="Arial" w:hAnsi="Arial" w:cs="Arial"/>
          <w:sz w:val="22"/>
          <w:szCs w:val="22"/>
          <w:lang w:val="af-ZA"/>
        </w:rPr>
        <w:t xml:space="preserve">was </w:t>
      </w:r>
      <w:r w:rsidRPr="001325D7">
        <w:rPr>
          <w:rFonts w:ascii="Arial" w:hAnsi="Arial" w:cs="Arial"/>
          <w:sz w:val="22"/>
          <w:szCs w:val="22"/>
          <w:lang w:val="af-ZA"/>
        </w:rPr>
        <w:t>a private newspaper promoting “a Christian Netherlands under the scepter of the House of Orange” (</w:t>
      </w:r>
      <w:r w:rsidR="009B79BC" w:rsidRPr="001325D7">
        <w:rPr>
          <w:rFonts w:ascii="Arial" w:hAnsi="Arial" w:cs="Arial"/>
          <w:sz w:val="22"/>
          <w:szCs w:val="22"/>
          <w:lang w:val="af-ZA"/>
        </w:rPr>
        <w:t>39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). The journal reflected his belief that “revolutionary principles must be opposed by </w:t>
      </w:r>
      <w:r w:rsidR="009B79BC" w:rsidRPr="001325D7">
        <w:rPr>
          <w:rFonts w:ascii="Arial" w:hAnsi="Arial" w:cs="Arial"/>
          <w:sz w:val="22"/>
          <w:szCs w:val="22"/>
          <w:lang w:val="af-ZA"/>
        </w:rPr>
        <w:t>‘</w:t>
      </w:r>
      <w:r w:rsidRPr="001325D7">
        <w:rPr>
          <w:rFonts w:ascii="Arial" w:hAnsi="Arial" w:cs="Arial"/>
          <w:sz w:val="22"/>
          <w:szCs w:val="22"/>
          <w:lang w:val="af-ZA"/>
        </w:rPr>
        <w:t>antirevolutionary</w:t>
      </w:r>
      <w:r w:rsidR="009B79BC" w:rsidRPr="001325D7">
        <w:rPr>
          <w:rFonts w:ascii="Arial" w:hAnsi="Arial" w:cs="Arial"/>
          <w:sz w:val="22"/>
          <w:szCs w:val="22"/>
          <w:lang w:val="af-ZA"/>
        </w:rPr>
        <w:t>’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 principles” (</w:t>
      </w:r>
      <w:r w:rsidR="009B79BC" w:rsidRPr="001325D7">
        <w:rPr>
          <w:rFonts w:ascii="Arial" w:hAnsi="Arial" w:cs="Arial"/>
          <w:sz w:val="22"/>
          <w:szCs w:val="22"/>
          <w:lang w:val="af-ZA"/>
        </w:rPr>
        <w:t>44</w:t>
      </w:r>
      <w:r w:rsidRPr="001325D7">
        <w:rPr>
          <w:rFonts w:ascii="Arial" w:hAnsi="Arial" w:cs="Arial"/>
          <w:sz w:val="22"/>
          <w:szCs w:val="22"/>
          <w:lang w:val="af-ZA"/>
        </w:rPr>
        <w:t>). In this, he transcended mere political conservatism, articulating what the author calls “an entirely new approach to politics” (</w:t>
      </w:r>
      <w:r w:rsidR="009B79BC" w:rsidRPr="001325D7">
        <w:rPr>
          <w:rFonts w:ascii="Arial" w:hAnsi="Arial" w:cs="Arial"/>
          <w:sz w:val="22"/>
          <w:szCs w:val="22"/>
          <w:lang w:val="af-ZA"/>
        </w:rPr>
        <w:t>44</w:t>
      </w:r>
      <w:r w:rsidRPr="001325D7">
        <w:rPr>
          <w:rFonts w:ascii="Arial" w:hAnsi="Arial" w:cs="Arial"/>
          <w:sz w:val="22"/>
          <w:szCs w:val="22"/>
          <w:lang w:val="af-ZA"/>
        </w:rPr>
        <w:t>): the conviction that unbelief, not merely political radicalism, was the driving force of the modern revolution.</w:t>
      </w:r>
    </w:p>
    <w:p w:rsidR="00C20462" w:rsidRPr="001325D7" w:rsidRDefault="00C20462" w:rsidP="003271AB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</w:p>
    <w:p w:rsidR="00C20462" w:rsidRPr="001325D7" w:rsidRDefault="00C20462" w:rsidP="003271AB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  <w:r w:rsidRPr="001325D7">
        <w:rPr>
          <w:rFonts w:ascii="Arial" w:hAnsi="Arial" w:cs="Arial"/>
          <w:sz w:val="22"/>
          <w:szCs w:val="22"/>
          <w:lang w:val="af-ZA"/>
        </w:rPr>
        <w:t xml:space="preserve">Groen’s mature thought found its fullest expression in </w:t>
      </w:r>
      <w:r w:rsidRPr="001325D7">
        <w:rPr>
          <w:rFonts w:ascii="Arial" w:hAnsi="Arial" w:cs="Arial"/>
          <w:i/>
          <w:iCs/>
          <w:sz w:val="22"/>
          <w:szCs w:val="22"/>
          <w:lang w:val="af-ZA"/>
        </w:rPr>
        <w:t>Unbelief and Revolution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 (1847). As Kuiper points out</w:t>
      </w:r>
      <w:r w:rsidR="00802F2B" w:rsidRPr="001325D7">
        <w:rPr>
          <w:rFonts w:ascii="Arial" w:hAnsi="Arial" w:cs="Arial"/>
          <w:sz w:val="22"/>
          <w:szCs w:val="22"/>
          <w:lang w:val="af-ZA"/>
        </w:rPr>
        <w:t>,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 this was “the most mature formulation of his political, historical, and philosophical views” (</w:t>
      </w:r>
      <w:r w:rsidR="00702E4F" w:rsidRPr="001325D7">
        <w:rPr>
          <w:rFonts w:ascii="Arial" w:hAnsi="Arial" w:cs="Arial"/>
          <w:sz w:val="22"/>
          <w:szCs w:val="22"/>
          <w:lang w:val="af-ZA"/>
        </w:rPr>
        <w:t>103</w:t>
      </w:r>
      <w:r w:rsidRPr="001325D7">
        <w:rPr>
          <w:rFonts w:ascii="Arial" w:hAnsi="Arial" w:cs="Arial"/>
          <w:sz w:val="22"/>
          <w:szCs w:val="22"/>
          <w:lang w:val="af-ZA"/>
        </w:rPr>
        <w:t>). This work, still read today, positioned him alongside thinkers such as Burke, Stahl, and Guizot (</w:t>
      </w:r>
      <w:r w:rsidR="00702E4F" w:rsidRPr="001325D7">
        <w:rPr>
          <w:rFonts w:ascii="Arial" w:hAnsi="Arial" w:cs="Arial"/>
          <w:sz w:val="22"/>
          <w:szCs w:val="22"/>
          <w:lang w:val="af-ZA"/>
        </w:rPr>
        <w:t>103</w:t>
      </w:r>
      <w:r w:rsidRPr="001325D7">
        <w:rPr>
          <w:rFonts w:ascii="Arial" w:hAnsi="Arial" w:cs="Arial"/>
          <w:sz w:val="22"/>
          <w:szCs w:val="22"/>
          <w:lang w:val="af-ZA"/>
        </w:rPr>
        <w:t>). For Groen, “the revolution was the dissemination of the religion of mankind” (</w:t>
      </w:r>
      <w:r w:rsidR="00702E4F" w:rsidRPr="001325D7">
        <w:rPr>
          <w:rFonts w:ascii="Arial" w:hAnsi="Arial" w:cs="Arial"/>
          <w:sz w:val="22"/>
          <w:szCs w:val="22"/>
          <w:lang w:val="af-ZA"/>
        </w:rPr>
        <w:t>103</w:t>
      </w:r>
      <w:r w:rsidRPr="001325D7">
        <w:rPr>
          <w:rFonts w:ascii="Arial" w:hAnsi="Arial" w:cs="Arial"/>
          <w:sz w:val="22"/>
          <w:szCs w:val="22"/>
          <w:lang w:val="af-ZA"/>
        </w:rPr>
        <w:t>); it was the enthronement of secular reason and human autonomy over divine sovereignty.</w:t>
      </w:r>
    </w:p>
    <w:p w:rsidR="00C20462" w:rsidRPr="001325D7" w:rsidRDefault="00C20462" w:rsidP="003271AB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</w:p>
    <w:p w:rsidR="00C20462" w:rsidRPr="001325D7" w:rsidRDefault="00C20462" w:rsidP="003271AB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  <w:r w:rsidRPr="001325D7">
        <w:rPr>
          <w:rFonts w:ascii="Arial" w:hAnsi="Arial" w:cs="Arial"/>
          <w:sz w:val="22"/>
          <w:szCs w:val="22"/>
          <w:lang w:val="af-ZA"/>
        </w:rPr>
        <w:t>Against this, Groen proposed a radically Christian alternative: “Just as revolution is the fruit of disbelief, so the desired development must begin with faith, with Christian faith” (</w:t>
      </w:r>
      <w:r w:rsidR="00702E4F" w:rsidRPr="001325D7">
        <w:rPr>
          <w:rFonts w:ascii="Arial" w:hAnsi="Arial" w:cs="Arial"/>
          <w:sz w:val="22"/>
          <w:szCs w:val="22"/>
          <w:lang w:val="af-ZA"/>
        </w:rPr>
        <w:t>106</w:t>
      </w:r>
      <w:r w:rsidRPr="001325D7">
        <w:rPr>
          <w:rFonts w:ascii="Arial" w:hAnsi="Arial" w:cs="Arial"/>
          <w:sz w:val="22"/>
          <w:szCs w:val="22"/>
          <w:lang w:val="af-ZA"/>
        </w:rPr>
        <w:t>). Within this theological-political vision lay the germ of what Abraham Kuyper would later systemati</w:t>
      </w:r>
      <w:r w:rsidR="003B6853" w:rsidRPr="001325D7">
        <w:rPr>
          <w:rFonts w:ascii="Arial" w:hAnsi="Arial" w:cs="Arial"/>
          <w:sz w:val="22"/>
          <w:szCs w:val="22"/>
          <w:lang w:val="af-ZA"/>
        </w:rPr>
        <w:t>s</w:t>
      </w:r>
      <w:r w:rsidRPr="001325D7">
        <w:rPr>
          <w:rFonts w:ascii="Arial" w:hAnsi="Arial" w:cs="Arial"/>
          <w:sz w:val="22"/>
          <w:szCs w:val="22"/>
          <w:lang w:val="af-ZA"/>
        </w:rPr>
        <w:t>e as sphere sovereignty (</w:t>
      </w:r>
      <w:r w:rsidR="00702E4F" w:rsidRPr="001325D7">
        <w:rPr>
          <w:rFonts w:ascii="Arial" w:hAnsi="Arial" w:cs="Arial"/>
          <w:sz w:val="22"/>
          <w:szCs w:val="22"/>
          <w:lang w:val="af-ZA"/>
        </w:rPr>
        <w:t>109</w:t>
      </w:r>
      <w:r w:rsidRPr="001325D7">
        <w:rPr>
          <w:rFonts w:ascii="Arial" w:hAnsi="Arial" w:cs="Arial"/>
          <w:sz w:val="22"/>
          <w:szCs w:val="22"/>
          <w:lang w:val="af-ZA"/>
        </w:rPr>
        <w:t>). The biography thus establishes Groen as the intellectual and spiritual forerunner of Dutch neo-Calvinism.</w:t>
      </w:r>
    </w:p>
    <w:p w:rsidR="00C20462" w:rsidRPr="001325D7" w:rsidRDefault="00C20462" w:rsidP="003271AB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</w:p>
    <w:p w:rsidR="00C20462" w:rsidRPr="001325D7" w:rsidRDefault="00C20462" w:rsidP="003271AB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  <w:r w:rsidRPr="001325D7">
        <w:rPr>
          <w:rFonts w:ascii="Arial" w:hAnsi="Arial" w:cs="Arial"/>
          <w:sz w:val="22"/>
          <w:szCs w:val="22"/>
          <w:lang w:val="af-ZA"/>
        </w:rPr>
        <w:t>Education and Christian schools were a ma</w:t>
      </w:r>
      <w:r w:rsidR="00111AFC" w:rsidRPr="001325D7">
        <w:rPr>
          <w:rFonts w:ascii="Arial" w:hAnsi="Arial" w:cs="Arial"/>
          <w:sz w:val="22"/>
          <w:szCs w:val="22"/>
          <w:lang w:val="af-ZA"/>
        </w:rPr>
        <w:t>jor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 motivation for Groen. He spent “large sums of his personal fortune to help establish Christian schools throughout the country” (</w:t>
      </w:r>
      <w:r w:rsidR="00702E4F" w:rsidRPr="001325D7">
        <w:rPr>
          <w:rFonts w:ascii="Arial" w:hAnsi="Arial" w:cs="Arial"/>
          <w:sz w:val="22"/>
          <w:szCs w:val="22"/>
          <w:lang w:val="af-ZA"/>
        </w:rPr>
        <w:t>173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) and served as honorary president of the Christian National School Education movement. </w:t>
      </w:r>
      <w:r w:rsidR="00111AFC" w:rsidRPr="001325D7">
        <w:rPr>
          <w:rFonts w:ascii="Arial" w:hAnsi="Arial" w:cs="Arial"/>
          <w:sz w:val="22"/>
          <w:szCs w:val="22"/>
          <w:lang w:val="af-ZA"/>
        </w:rPr>
        <w:t>Alt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hough </w:t>
      </w:r>
      <w:r w:rsidR="00702E4F" w:rsidRPr="001325D7">
        <w:rPr>
          <w:rFonts w:ascii="Arial" w:hAnsi="Arial" w:cs="Arial"/>
          <w:sz w:val="22"/>
          <w:szCs w:val="22"/>
          <w:lang w:val="af-ZA"/>
        </w:rPr>
        <w:t xml:space="preserve">regarded as being 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too polemical to win universal assent, his </w:t>
      </w:r>
      <w:r w:rsidRPr="001325D7">
        <w:rPr>
          <w:rFonts w:ascii="Arial" w:hAnsi="Arial" w:cs="Arial"/>
          <w:i/>
          <w:iCs/>
          <w:sz w:val="22"/>
          <w:szCs w:val="22"/>
          <w:lang w:val="af-ZA"/>
        </w:rPr>
        <w:t>Handbook of the History of the Netherlands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 made him a beloved figure among Protestant teachers. His ideal was simple yet profound: “to gain public recognition for Christian education, which would serve its own function alongside neutral public schools” (</w:t>
      </w:r>
      <w:r w:rsidR="00702E4F" w:rsidRPr="001325D7">
        <w:rPr>
          <w:rFonts w:ascii="Arial" w:hAnsi="Arial" w:cs="Arial"/>
          <w:sz w:val="22"/>
          <w:szCs w:val="22"/>
          <w:lang w:val="af-ZA"/>
        </w:rPr>
        <w:t>177</w:t>
      </w:r>
      <w:r w:rsidRPr="001325D7">
        <w:rPr>
          <w:rFonts w:ascii="Arial" w:hAnsi="Arial" w:cs="Arial"/>
          <w:sz w:val="22"/>
          <w:szCs w:val="22"/>
          <w:lang w:val="af-ZA"/>
        </w:rPr>
        <w:t>).</w:t>
      </w:r>
    </w:p>
    <w:p w:rsidR="00C20462" w:rsidRPr="001325D7" w:rsidRDefault="00C20462" w:rsidP="003271AB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</w:p>
    <w:p w:rsidR="00C20462" w:rsidRPr="001325D7" w:rsidRDefault="00111AFC" w:rsidP="003271AB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  <w:r w:rsidRPr="001325D7">
        <w:rPr>
          <w:rFonts w:ascii="Arial" w:hAnsi="Arial" w:cs="Arial"/>
          <w:sz w:val="22"/>
          <w:szCs w:val="22"/>
          <w:lang w:val="af-ZA"/>
        </w:rPr>
        <w:t>As Kuiper shows, Groen</w:t>
      </w:r>
      <w:r w:rsidR="00716C12" w:rsidRPr="001325D7">
        <w:rPr>
          <w:rFonts w:ascii="Arial" w:hAnsi="Arial" w:cs="Arial"/>
          <w:sz w:val="22"/>
          <w:szCs w:val="22"/>
          <w:lang w:val="af-ZA"/>
        </w:rPr>
        <w:t>’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s legacy lay not in political success but in the moral and spiritual vision he bequeathed: “His political legacy was his person, not a program” (202). </w:t>
      </w:r>
      <w:r w:rsidR="003B6853" w:rsidRPr="001325D7">
        <w:rPr>
          <w:rFonts w:ascii="Arial" w:hAnsi="Arial" w:cs="Arial"/>
          <w:sz w:val="22"/>
          <w:szCs w:val="22"/>
          <w:lang w:val="af-ZA"/>
        </w:rPr>
        <w:t>Kuiper</w:t>
      </w:r>
      <w:r w:rsidR="00C20462" w:rsidRPr="001325D7">
        <w:rPr>
          <w:rFonts w:ascii="Arial" w:hAnsi="Arial" w:cs="Arial"/>
          <w:sz w:val="22"/>
          <w:szCs w:val="22"/>
          <w:lang w:val="af-ZA"/>
        </w:rPr>
        <w:t xml:space="preserve"> fittingly recalls </w:t>
      </w:r>
      <w:r w:rsidR="003B6853" w:rsidRPr="001325D7">
        <w:rPr>
          <w:rFonts w:ascii="Arial" w:hAnsi="Arial" w:cs="Arial"/>
          <w:sz w:val="22"/>
          <w:szCs w:val="22"/>
          <w:lang w:val="af-ZA"/>
        </w:rPr>
        <w:t>Groen’s</w:t>
      </w:r>
      <w:r w:rsidR="00C20462" w:rsidRPr="001325D7">
        <w:rPr>
          <w:rFonts w:ascii="Arial" w:hAnsi="Arial" w:cs="Arial"/>
          <w:sz w:val="22"/>
          <w:szCs w:val="22"/>
          <w:lang w:val="af-ZA"/>
        </w:rPr>
        <w:t xml:space="preserve"> motto: “In our isolation lies our strength” (</w:t>
      </w:r>
      <w:r w:rsidR="00702E4F" w:rsidRPr="001325D7">
        <w:rPr>
          <w:rFonts w:ascii="Arial" w:hAnsi="Arial" w:cs="Arial"/>
          <w:sz w:val="22"/>
          <w:szCs w:val="22"/>
          <w:lang w:val="af-ZA"/>
        </w:rPr>
        <w:t>204</w:t>
      </w:r>
      <w:r w:rsidR="00C20462" w:rsidRPr="001325D7">
        <w:rPr>
          <w:rFonts w:ascii="Arial" w:hAnsi="Arial" w:cs="Arial"/>
          <w:sz w:val="22"/>
          <w:szCs w:val="22"/>
          <w:lang w:val="af-ZA"/>
        </w:rPr>
        <w:t>). Groen lived and died in that conviction, a man whose faith resisted the tides of modern unbelief.</w:t>
      </w:r>
    </w:p>
    <w:p w:rsidR="00C20462" w:rsidRPr="001325D7" w:rsidRDefault="00C20462" w:rsidP="003271AB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</w:p>
    <w:p w:rsidR="00C20462" w:rsidRPr="001325D7" w:rsidRDefault="00C20462" w:rsidP="003271AB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  <w:r w:rsidRPr="001325D7">
        <w:rPr>
          <w:rFonts w:ascii="Arial" w:hAnsi="Arial" w:cs="Arial"/>
          <w:sz w:val="22"/>
          <w:szCs w:val="22"/>
          <w:lang w:val="af-ZA"/>
        </w:rPr>
        <w:t xml:space="preserve">This biography succeeds in portraying Groen van Prinsterer not merely as a historical figure but as a moral conscience in an age of transition. The </w:t>
      </w:r>
      <w:r w:rsidR="0060312F" w:rsidRPr="001325D7">
        <w:rPr>
          <w:rFonts w:ascii="Arial" w:hAnsi="Arial" w:cs="Arial"/>
          <w:sz w:val="22"/>
          <w:szCs w:val="22"/>
          <w:lang w:val="af-ZA"/>
        </w:rPr>
        <w:t>biography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 </w:t>
      </w:r>
      <w:r w:rsidR="0060312F" w:rsidRPr="001325D7">
        <w:rPr>
          <w:rFonts w:ascii="Arial" w:hAnsi="Arial" w:cs="Arial"/>
          <w:sz w:val="22"/>
          <w:szCs w:val="22"/>
          <w:lang w:val="af-ZA"/>
        </w:rPr>
        <w:t>weaves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 private faith, public service, and intellectual labo</w:t>
      </w:r>
      <w:r w:rsidR="007F39AF" w:rsidRPr="001325D7">
        <w:rPr>
          <w:rFonts w:ascii="Arial" w:hAnsi="Arial" w:cs="Arial"/>
          <w:sz w:val="22"/>
          <w:szCs w:val="22"/>
          <w:lang w:val="af-ZA"/>
        </w:rPr>
        <w:t>u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r, showing how </w:t>
      </w:r>
      <w:r w:rsidR="0060312F" w:rsidRPr="001325D7">
        <w:rPr>
          <w:rFonts w:ascii="Arial" w:hAnsi="Arial" w:cs="Arial"/>
          <w:sz w:val="22"/>
          <w:szCs w:val="22"/>
          <w:lang w:val="af-ZA"/>
        </w:rPr>
        <w:t>Groen’s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 life embodied the tension between conviction and influence</w:t>
      </w:r>
      <w:r w:rsidR="0060312F" w:rsidRPr="001325D7">
        <w:rPr>
          <w:rFonts w:ascii="Arial" w:hAnsi="Arial" w:cs="Arial"/>
          <w:sz w:val="22"/>
          <w:szCs w:val="22"/>
          <w:lang w:val="af-ZA"/>
        </w:rPr>
        <w:t>,</w:t>
      </w:r>
      <w:r w:rsidR="0003250B" w:rsidRPr="001325D7">
        <w:rPr>
          <w:rFonts w:ascii="Arial" w:hAnsi="Arial" w:cs="Arial"/>
          <w:sz w:val="22"/>
          <w:szCs w:val="22"/>
          <w:lang w:val="af-ZA"/>
        </w:rPr>
        <w:t xml:space="preserve"> and </w:t>
      </w:r>
      <w:r w:rsidR="0060312F" w:rsidRPr="001325D7">
        <w:rPr>
          <w:rFonts w:ascii="Arial" w:hAnsi="Arial" w:cs="Arial"/>
          <w:sz w:val="22"/>
          <w:szCs w:val="22"/>
          <w:lang w:val="af-ZA"/>
        </w:rPr>
        <w:t xml:space="preserve">between </w:t>
      </w:r>
      <w:r w:rsidRPr="001325D7">
        <w:rPr>
          <w:rFonts w:ascii="Arial" w:hAnsi="Arial" w:cs="Arial"/>
          <w:sz w:val="22"/>
          <w:szCs w:val="22"/>
          <w:lang w:val="af-ZA"/>
        </w:rPr>
        <w:t>solitude and leadership.</w:t>
      </w:r>
    </w:p>
    <w:p w:rsidR="00C20462" w:rsidRPr="001325D7" w:rsidRDefault="00C20462" w:rsidP="003271AB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</w:p>
    <w:p w:rsidR="007420B6" w:rsidRPr="001325D7" w:rsidRDefault="00C20462" w:rsidP="003271AB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  <w:r w:rsidRPr="001325D7">
        <w:rPr>
          <w:rFonts w:ascii="Arial" w:hAnsi="Arial" w:cs="Arial"/>
          <w:sz w:val="22"/>
          <w:szCs w:val="22"/>
          <w:lang w:val="af-ZA"/>
        </w:rPr>
        <w:t xml:space="preserve">Through extensive documentation and evocative use of letters and speeches, </w:t>
      </w:r>
      <w:r w:rsidR="00111AFC" w:rsidRPr="001325D7">
        <w:rPr>
          <w:rFonts w:ascii="Arial" w:hAnsi="Arial" w:cs="Arial"/>
          <w:sz w:val="22"/>
          <w:szCs w:val="22"/>
          <w:lang w:val="af-ZA"/>
        </w:rPr>
        <w:t>Kuiper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 demonstrates that “Groen’s works cannot be understood without reference to his life story”</w:t>
      </w:r>
      <w:r w:rsidR="00284A20" w:rsidRPr="001325D7">
        <w:rPr>
          <w:rFonts w:ascii="Arial" w:hAnsi="Arial" w:cs="Arial"/>
          <w:sz w:val="22"/>
          <w:szCs w:val="22"/>
          <w:lang w:val="af-ZA"/>
        </w:rPr>
        <w:t xml:space="preserve"> </w:t>
      </w:r>
      <w:r w:rsidRPr="001325D7">
        <w:rPr>
          <w:rFonts w:ascii="Arial" w:hAnsi="Arial" w:cs="Arial"/>
          <w:sz w:val="22"/>
          <w:szCs w:val="22"/>
          <w:lang w:val="af-ZA"/>
        </w:rPr>
        <w:t>(</w:t>
      </w:r>
      <w:r w:rsidR="004A5C08" w:rsidRPr="001325D7">
        <w:rPr>
          <w:rFonts w:ascii="Arial" w:hAnsi="Arial" w:cs="Arial"/>
          <w:sz w:val="22"/>
          <w:szCs w:val="22"/>
          <w:lang w:val="af-ZA"/>
        </w:rPr>
        <w:t>ix</w:t>
      </w:r>
      <w:r w:rsidRPr="001325D7">
        <w:rPr>
          <w:rFonts w:ascii="Arial" w:hAnsi="Arial" w:cs="Arial"/>
          <w:sz w:val="22"/>
          <w:szCs w:val="22"/>
          <w:lang w:val="af-ZA"/>
        </w:rPr>
        <w:t>)</w:t>
      </w:r>
      <w:r w:rsidR="00D13EA9" w:rsidRPr="001325D7">
        <w:rPr>
          <w:rFonts w:ascii="Arial" w:hAnsi="Arial" w:cs="Arial"/>
          <w:sz w:val="22"/>
          <w:szCs w:val="22"/>
          <w:lang w:val="af-ZA"/>
        </w:rPr>
        <w:t>. There are t</w:t>
      </w:r>
      <w:r w:rsidRPr="001325D7">
        <w:rPr>
          <w:rFonts w:ascii="Arial" w:hAnsi="Arial" w:cs="Arial"/>
          <w:sz w:val="22"/>
          <w:szCs w:val="22"/>
          <w:lang w:val="af-ZA"/>
        </w:rPr>
        <w:t>en pages of bibliography,</w:t>
      </w:r>
      <w:r w:rsidR="008148AC" w:rsidRPr="001325D7">
        <w:rPr>
          <w:rStyle w:val="FootnoteReference"/>
          <w:rFonts w:ascii="Arial" w:hAnsi="Arial" w:cs="Arial"/>
          <w:sz w:val="22"/>
          <w:szCs w:val="22"/>
          <w:lang w:val="af-ZA"/>
        </w:rPr>
        <w:footnoteReference w:id="1"/>
      </w:r>
      <w:r w:rsidRPr="001325D7">
        <w:rPr>
          <w:rFonts w:ascii="Arial" w:hAnsi="Arial" w:cs="Arial"/>
          <w:sz w:val="22"/>
          <w:szCs w:val="22"/>
          <w:lang w:val="af-ZA"/>
        </w:rPr>
        <w:t xml:space="preserve"> a four-page index, 25 pages of images</w:t>
      </w:r>
      <w:r w:rsidR="00111AFC" w:rsidRPr="001325D7">
        <w:rPr>
          <w:rFonts w:ascii="Arial" w:hAnsi="Arial" w:cs="Arial"/>
          <w:sz w:val="22"/>
          <w:szCs w:val="22"/>
          <w:lang w:val="af-ZA"/>
        </w:rPr>
        <w:t>, and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 26 pages of over 600 endnotes.</w:t>
      </w:r>
      <w:r w:rsidR="00FC30AC" w:rsidRPr="001325D7">
        <w:rPr>
          <w:rFonts w:ascii="Arial" w:hAnsi="Arial" w:cs="Arial"/>
          <w:sz w:val="22"/>
          <w:szCs w:val="22"/>
          <w:lang w:val="af-ZA"/>
        </w:rPr>
        <w:t xml:space="preserve"> </w:t>
      </w:r>
      <w:r w:rsidRPr="001325D7">
        <w:rPr>
          <w:rFonts w:ascii="Arial" w:hAnsi="Arial" w:cs="Arial"/>
          <w:sz w:val="22"/>
          <w:szCs w:val="22"/>
          <w:lang w:val="af-ZA"/>
        </w:rPr>
        <w:t>I can only echo the comments of John Choi on the back cover: “A must-read for those interested in European history, faith, and the roots of Neo-Calvinism</w:t>
      </w:r>
      <w:r w:rsidR="00C876D7" w:rsidRPr="001325D7">
        <w:rPr>
          <w:rFonts w:ascii="Arial" w:hAnsi="Arial" w:cs="Arial"/>
          <w:sz w:val="22"/>
          <w:szCs w:val="22"/>
          <w:lang w:val="af-ZA"/>
        </w:rPr>
        <w:t>.</w:t>
      </w:r>
      <w:r w:rsidRPr="001325D7">
        <w:rPr>
          <w:rFonts w:ascii="Arial" w:hAnsi="Arial" w:cs="Arial"/>
          <w:sz w:val="22"/>
          <w:szCs w:val="22"/>
          <w:lang w:val="af-ZA"/>
        </w:rPr>
        <w:t>”</w:t>
      </w:r>
    </w:p>
    <w:p w:rsidR="007420B6" w:rsidRPr="001325D7" w:rsidRDefault="007420B6" w:rsidP="003271AB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</w:p>
    <w:p w:rsidR="004A5C08" w:rsidRPr="001325D7" w:rsidRDefault="00A33B91" w:rsidP="003271AB">
      <w:pPr>
        <w:spacing w:after="0" w:line="240" w:lineRule="auto"/>
        <w:jc w:val="both"/>
        <w:rPr>
          <w:rFonts w:ascii="Arial" w:hAnsi="Arial" w:cs="Arial"/>
          <w:b/>
          <w:bCs/>
          <w:lang w:val="af-ZA"/>
        </w:rPr>
      </w:pPr>
      <w:r w:rsidRPr="001325D7">
        <w:rPr>
          <w:rFonts w:ascii="Arial" w:hAnsi="Arial" w:cs="Arial"/>
          <w:b/>
          <w:bCs/>
          <w:lang w:val="af-ZA"/>
        </w:rPr>
        <w:t>Bibliography</w:t>
      </w:r>
    </w:p>
    <w:p w:rsidR="000F5D79" w:rsidRPr="001325D7" w:rsidRDefault="000F5D79" w:rsidP="00CE3C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szCs w:val="22"/>
          <w:lang w:val="af-ZA"/>
        </w:rPr>
      </w:pPr>
      <w:r w:rsidRPr="001325D7">
        <w:rPr>
          <w:rFonts w:ascii="Arial" w:eastAsia="Times New Roman" w:hAnsi="Arial" w:cs="Arial"/>
          <w:color w:val="000000"/>
          <w:sz w:val="22"/>
          <w:szCs w:val="22"/>
          <w:lang w:val="af-ZA"/>
        </w:rPr>
        <w:t xml:space="preserve">ESSEN, J.L. VAN, and H. DONALD MORTON. 1990. </w:t>
      </w:r>
      <w:r w:rsidRPr="001325D7">
        <w:rPr>
          <w:rFonts w:ascii="Arial" w:eastAsia="Times New Roman" w:hAnsi="Arial" w:cs="Arial"/>
          <w:i/>
          <w:color w:val="000000"/>
          <w:sz w:val="22"/>
          <w:szCs w:val="22"/>
          <w:lang w:val="af-ZA"/>
        </w:rPr>
        <w:t>Guillaume Groen van Prinsterer: Selected Studies</w:t>
      </w:r>
      <w:r w:rsidRPr="001325D7">
        <w:rPr>
          <w:rFonts w:ascii="Arial" w:eastAsia="Times New Roman" w:hAnsi="Arial" w:cs="Arial"/>
          <w:color w:val="000000"/>
          <w:sz w:val="22"/>
          <w:szCs w:val="22"/>
          <w:lang w:val="af-ZA"/>
        </w:rPr>
        <w:t>. Jordan Station, ON: Wedge.</w:t>
      </w:r>
    </w:p>
    <w:p w:rsidR="000F5D79" w:rsidRPr="001325D7" w:rsidRDefault="000F5D79" w:rsidP="00CE3C95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  <w:r w:rsidRPr="001325D7">
        <w:rPr>
          <w:rFonts w:ascii="Arial" w:hAnsi="Arial" w:cs="Arial"/>
          <w:sz w:val="22"/>
          <w:szCs w:val="22"/>
          <w:lang w:val="af-ZA"/>
        </w:rPr>
        <w:t>GROEN VAN PRINSTERER, G. 2015. Christian Political Action in an Age of Revolution. Aalten: Wordbridge.</w:t>
      </w:r>
    </w:p>
    <w:p w:rsidR="000F5D79" w:rsidRPr="001325D7" w:rsidRDefault="000F5D79" w:rsidP="00CE3C95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  <w:r w:rsidRPr="001325D7">
        <w:rPr>
          <w:rFonts w:ascii="Arial" w:hAnsi="Arial" w:cs="Arial"/>
          <w:sz w:val="22"/>
          <w:szCs w:val="22"/>
          <w:lang w:val="af-ZA"/>
        </w:rPr>
        <w:t xml:space="preserve">GROEN VAN PRINSTERER, G. 2022. </w:t>
      </w:r>
      <w:r w:rsidRPr="001325D7">
        <w:rPr>
          <w:rFonts w:ascii="Arial" w:hAnsi="Arial" w:cs="Arial"/>
          <w:i/>
          <w:iCs/>
          <w:sz w:val="22"/>
          <w:szCs w:val="22"/>
          <w:lang w:val="af-ZA"/>
        </w:rPr>
        <w:t>Liberty, Equality, Fraternity: A Refutation of Liberalism</w:t>
      </w:r>
      <w:r w:rsidRPr="001325D7">
        <w:rPr>
          <w:rFonts w:ascii="Arial" w:hAnsi="Arial" w:cs="Arial"/>
          <w:sz w:val="22"/>
          <w:szCs w:val="22"/>
          <w:lang w:val="af-ZA"/>
        </w:rPr>
        <w:t>. St Petersburg: RefCon Press</w:t>
      </w:r>
    </w:p>
    <w:p w:rsidR="000F5D79" w:rsidRPr="001325D7" w:rsidRDefault="000F5D79" w:rsidP="00CE3C95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  <w:r w:rsidRPr="001325D7">
        <w:rPr>
          <w:rFonts w:ascii="Arial" w:hAnsi="Arial" w:cs="Arial"/>
          <w:sz w:val="22"/>
          <w:szCs w:val="22"/>
          <w:lang w:val="af-ZA"/>
        </w:rPr>
        <w:t>GROEN VAN PRINSTERER, G. 2024</w:t>
      </w:r>
      <w:r w:rsidRPr="001325D7">
        <w:rPr>
          <w:rFonts w:ascii="Arial" w:hAnsi="Arial" w:cs="Arial"/>
          <w:i/>
          <w:iCs/>
          <w:sz w:val="22"/>
          <w:szCs w:val="22"/>
          <w:lang w:val="af-ZA"/>
        </w:rPr>
        <w:t>. A Christian Theory of Political Truth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. St Petersburg: RefCon Press. </w:t>
      </w:r>
    </w:p>
    <w:p w:rsidR="000F5D79" w:rsidRPr="001325D7" w:rsidRDefault="000F5D79" w:rsidP="00CE3C95">
      <w:pPr>
        <w:spacing w:after="0" w:line="240" w:lineRule="auto"/>
        <w:jc w:val="both"/>
        <w:rPr>
          <w:rFonts w:ascii="Arial" w:hAnsi="Arial" w:cs="Arial"/>
          <w:sz w:val="22"/>
          <w:szCs w:val="22"/>
          <w:lang w:val="af-ZA"/>
        </w:rPr>
      </w:pPr>
      <w:r w:rsidRPr="001325D7">
        <w:rPr>
          <w:rFonts w:ascii="Arial" w:hAnsi="Arial" w:cs="Arial"/>
          <w:sz w:val="22"/>
          <w:szCs w:val="22"/>
          <w:lang w:val="af-ZA"/>
        </w:rPr>
        <w:t>LLOYD-JONES, D.M. 1987. “The Christian and the State in Revolutionary Times”: The French Revolution and After. In</w:t>
      </w:r>
      <w:r w:rsidR="0011551D" w:rsidRPr="001325D7">
        <w:rPr>
          <w:rFonts w:ascii="Arial" w:hAnsi="Arial" w:cs="Arial"/>
          <w:sz w:val="22"/>
          <w:szCs w:val="22"/>
          <w:lang w:val="af-ZA"/>
        </w:rPr>
        <w:t>:</w:t>
      </w:r>
      <w:r w:rsidRPr="001325D7">
        <w:rPr>
          <w:rFonts w:ascii="Arial" w:hAnsi="Arial" w:cs="Arial"/>
          <w:sz w:val="22"/>
          <w:szCs w:val="22"/>
          <w:lang w:val="af-ZA"/>
        </w:rPr>
        <w:t xml:space="preserve"> </w:t>
      </w:r>
      <w:r w:rsidRPr="001325D7">
        <w:rPr>
          <w:rFonts w:ascii="Arial" w:hAnsi="Arial" w:cs="Arial"/>
          <w:i/>
          <w:iCs/>
          <w:sz w:val="22"/>
          <w:szCs w:val="22"/>
          <w:lang w:val="af-ZA"/>
        </w:rPr>
        <w:t>The Puritans: Their Origins and Successors</w:t>
      </w:r>
      <w:r w:rsidRPr="001325D7">
        <w:rPr>
          <w:rFonts w:ascii="Arial" w:hAnsi="Arial" w:cs="Arial"/>
          <w:sz w:val="22"/>
          <w:szCs w:val="22"/>
          <w:lang w:val="af-ZA"/>
        </w:rPr>
        <w:t>. Edinburgh: Banner of Truth.</w:t>
      </w:r>
    </w:p>
    <w:p w:rsidR="000F5D79" w:rsidRPr="001325D7" w:rsidRDefault="000F5D79" w:rsidP="00CE3C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szCs w:val="22"/>
          <w:lang w:val="af-ZA"/>
        </w:rPr>
      </w:pPr>
      <w:r w:rsidRPr="001325D7">
        <w:rPr>
          <w:rFonts w:ascii="Arial" w:eastAsia="Times New Roman" w:hAnsi="Arial" w:cs="Arial"/>
          <w:color w:val="000000"/>
          <w:sz w:val="22"/>
          <w:szCs w:val="22"/>
          <w:lang w:val="af-ZA"/>
        </w:rPr>
        <w:t xml:space="preserve">SCHUTTE, G.J. 2016. </w:t>
      </w:r>
      <w:r w:rsidRPr="001325D7">
        <w:rPr>
          <w:rFonts w:ascii="Arial" w:eastAsia="Times New Roman" w:hAnsi="Arial" w:cs="Arial"/>
          <w:i/>
          <w:color w:val="000000"/>
          <w:sz w:val="22"/>
          <w:szCs w:val="22"/>
          <w:lang w:val="af-ZA"/>
        </w:rPr>
        <w:t>Groen Van Prinsterer: His Life and Work</w:t>
      </w:r>
      <w:r w:rsidRPr="001325D7">
        <w:rPr>
          <w:rFonts w:ascii="Arial" w:eastAsia="Times New Roman" w:hAnsi="Arial" w:cs="Arial"/>
          <w:color w:val="000000"/>
          <w:sz w:val="22"/>
          <w:szCs w:val="22"/>
          <w:lang w:val="af-ZA"/>
        </w:rPr>
        <w:t>. Translated by Harry Van Dyke. Neerlandia, Alberta: Inheritance Publications.</w:t>
      </w:r>
    </w:p>
    <w:p w:rsidR="000F5D79" w:rsidRPr="001325D7" w:rsidRDefault="000F5D79" w:rsidP="00CE3C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szCs w:val="22"/>
          <w:lang w:val="af-ZA"/>
        </w:rPr>
      </w:pPr>
      <w:r w:rsidRPr="001325D7">
        <w:rPr>
          <w:rFonts w:ascii="Arial" w:eastAsia="Times New Roman" w:hAnsi="Arial" w:cs="Arial"/>
          <w:color w:val="000000"/>
          <w:sz w:val="22"/>
          <w:szCs w:val="22"/>
          <w:lang w:val="af-ZA"/>
        </w:rPr>
        <w:t xml:space="preserve">SMITSKAMP, H. 2017. </w:t>
      </w:r>
      <w:r w:rsidRPr="001325D7">
        <w:rPr>
          <w:rFonts w:ascii="Arial" w:eastAsia="Times New Roman" w:hAnsi="Arial" w:cs="Arial"/>
          <w:i/>
          <w:color w:val="000000"/>
          <w:sz w:val="22"/>
          <w:szCs w:val="22"/>
          <w:lang w:val="af-ZA"/>
        </w:rPr>
        <w:t>Building a Nation on Rock or Sand</w:t>
      </w:r>
      <w:r w:rsidRPr="001325D7">
        <w:rPr>
          <w:rFonts w:ascii="Arial" w:eastAsia="Times New Roman" w:hAnsi="Arial" w:cs="Arial"/>
          <w:color w:val="000000"/>
          <w:sz w:val="22"/>
          <w:szCs w:val="22"/>
          <w:lang w:val="af-ZA"/>
        </w:rPr>
        <w:t>. Translated by Harman Boersema. Ontario: Guardian Books.</w:t>
      </w:r>
    </w:p>
    <w:p w:rsidR="000F5D79" w:rsidRPr="001325D7" w:rsidRDefault="000F5D79" w:rsidP="00CE3C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szCs w:val="22"/>
          <w:lang w:val="af-ZA"/>
        </w:rPr>
      </w:pPr>
      <w:r w:rsidRPr="001325D7">
        <w:rPr>
          <w:rFonts w:ascii="Arial" w:eastAsia="Times New Roman" w:hAnsi="Arial" w:cs="Arial"/>
          <w:color w:val="000000"/>
          <w:sz w:val="22"/>
          <w:szCs w:val="22"/>
          <w:lang w:val="af-ZA"/>
        </w:rPr>
        <w:t xml:space="preserve">VAN DYKE, H. 2019. </w:t>
      </w:r>
      <w:r w:rsidRPr="001325D7">
        <w:rPr>
          <w:rFonts w:ascii="Arial" w:eastAsia="Times New Roman" w:hAnsi="Arial" w:cs="Arial"/>
          <w:i/>
          <w:color w:val="000000"/>
          <w:sz w:val="22"/>
          <w:szCs w:val="22"/>
          <w:lang w:val="af-ZA"/>
        </w:rPr>
        <w:t>Challenging the Spirit of Modernity: A Study of Groen Van Prinsterer’s Unbelief and Revolution</w:t>
      </w:r>
      <w:r w:rsidRPr="001325D7">
        <w:rPr>
          <w:rFonts w:ascii="Arial" w:eastAsia="Times New Roman" w:hAnsi="Arial" w:cs="Arial"/>
          <w:color w:val="000000"/>
          <w:sz w:val="22"/>
          <w:szCs w:val="22"/>
          <w:lang w:val="af-ZA"/>
        </w:rPr>
        <w:t>. Studies in Historical and Systematic Theology. Bellingham, WA: Lexham Press.</w:t>
      </w:r>
    </w:p>
    <w:p w:rsidR="000F5D79" w:rsidRPr="001325D7" w:rsidRDefault="000F5D79" w:rsidP="00CE3C95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sectPr w:rsidR="000F5D79" w:rsidRPr="001325D7" w:rsidSect="00A758CE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0AB" w:rsidRDefault="001210AB" w:rsidP="008148AC">
      <w:pPr>
        <w:spacing w:after="0" w:line="240" w:lineRule="auto"/>
      </w:pPr>
      <w:r>
        <w:separator/>
      </w:r>
    </w:p>
  </w:endnote>
  <w:endnote w:type="continuationSeparator" w:id="0">
    <w:p w:rsidR="001210AB" w:rsidRDefault="001210AB" w:rsidP="00814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2AC8EA7-9C30-46E4-A7AD-05923135D523}"/>
    <w:embedBold r:id="rId2" w:fontKey="{09E6D6B3-750B-4F01-B5A8-829CC6C0FA4C}"/>
    <w:embedItalic r:id="rId3" w:fontKey="{5B35284A-D804-410E-95CF-F939756DDD17}"/>
    <w:embedBoldItalic r:id="rId4" w:fontKey="{7750CF96-CD9C-4BA6-B9C6-01E9120DEF7E}"/>
  </w:font>
  <w:font w:name="Play">
    <w:charset w:val="00"/>
    <w:family w:val="auto"/>
    <w:pitch w:val="default"/>
    <w:embedRegular r:id="rId5" w:fontKey="{E9283D97-DEBC-4E94-A3EF-D8C47B08F06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A190B165-1D17-4E69-895B-DA5E6E7D684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5AA9985-D144-41F5-962E-2C5EA44A436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0AB" w:rsidRDefault="001210AB" w:rsidP="008148AC">
      <w:pPr>
        <w:spacing w:after="0" w:line="240" w:lineRule="auto"/>
      </w:pPr>
      <w:r>
        <w:separator/>
      </w:r>
    </w:p>
  </w:footnote>
  <w:footnote w:type="continuationSeparator" w:id="0">
    <w:p w:rsidR="001210AB" w:rsidRDefault="001210AB" w:rsidP="008148AC">
      <w:pPr>
        <w:spacing w:after="0" w:line="240" w:lineRule="auto"/>
      </w:pPr>
      <w:r>
        <w:continuationSeparator/>
      </w:r>
    </w:p>
  </w:footnote>
  <w:footnote w:id="1">
    <w:p w:rsidR="008148AC" w:rsidRPr="008148AC" w:rsidRDefault="008148AC">
      <w:pPr>
        <w:pStyle w:val="FootnoteText"/>
        <w:rPr>
          <w:rFonts w:asciiTheme="minorBidi" w:hAnsiTheme="minorBidi" w:cstheme="minorBidi"/>
        </w:rPr>
      </w:pPr>
      <w:r w:rsidRPr="008148AC">
        <w:rPr>
          <w:rStyle w:val="FootnoteReference"/>
          <w:rFonts w:asciiTheme="minorBidi" w:hAnsiTheme="minorBidi" w:cstheme="minorBidi"/>
        </w:rPr>
        <w:footnoteRef/>
      </w:r>
      <w:r w:rsidRPr="008148AC">
        <w:rPr>
          <w:rFonts w:asciiTheme="minorBidi" w:hAnsiTheme="minorBidi" w:cstheme="minorBidi"/>
        </w:rPr>
        <w:t xml:space="preserve"> Surprisingly three Eng</w:t>
      </w:r>
      <w:r>
        <w:rPr>
          <w:rFonts w:asciiTheme="minorBidi" w:hAnsiTheme="minorBidi" w:cstheme="minorBidi"/>
        </w:rPr>
        <w:t>l</w:t>
      </w:r>
      <w:r w:rsidRPr="008148AC">
        <w:rPr>
          <w:rFonts w:asciiTheme="minorBidi" w:hAnsiTheme="minorBidi" w:cstheme="minorBidi"/>
        </w:rPr>
        <w:t xml:space="preserve">ish </w:t>
      </w:r>
      <w:r w:rsidR="000F5D79" w:rsidRPr="008148AC">
        <w:rPr>
          <w:rFonts w:asciiTheme="minorBidi" w:hAnsiTheme="minorBidi" w:cstheme="minorBidi"/>
        </w:rPr>
        <w:t>translations</w:t>
      </w:r>
      <w:r w:rsidRPr="008148AC">
        <w:rPr>
          <w:rFonts w:asciiTheme="minorBidi" w:hAnsiTheme="minorBidi" w:cstheme="minorBidi"/>
        </w:rPr>
        <w:t xml:space="preserve"> are omitted: Van Prinsterer (2015, 2022, 2024).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20B6"/>
    <w:rsid w:val="000133A4"/>
    <w:rsid w:val="0003250B"/>
    <w:rsid w:val="00096646"/>
    <w:rsid w:val="000C487D"/>
    <w:rsid w:val="000F5D79"/>
    <w:rsid w:val="00111AFC"/>
    <w:rsid w:val="0011551D"/>
    <w:rsid w:val="001210AB"/>
    <w:rsid w:val="001325D7"/>
    <w:rsid w:val="0017074D"/>
    <w:rsid w:val="001B6853"/>
    <w:rsid w:val="001C27CE"/>
    <w:rsid w:val="00284A20"/>
    <w:rsid w:val="003271AB"/>
    <w:rsid w:val="003A0E59"/>
    <w:rsid w:val="003B6853"/>
    <w:rsid w:val="004A5C08"/>
    <w:rsid w:val="00586BE8"/>
    <w:rsid w:val="005965F9"/>
    <w:rsid w:val="0060312F"/>
    <w:rsid w:val="00702E4F"/>
    <w:rsid w:val="00716C12"/>
    <w:rsid w:val="007420B6"/>
    <w:rsid w:val="007F39AF"/>
    <w:rsid w:val="007F6464"/>
    <w:rsid w:val="00802F2B"/>
    <w:rsid w:val="008148AC"/>
    <w:rsid w:val="009522ED"/>
    <w:rsid w:val="009B79BC"/>
    <w:rsid w:val="00A33B91"/>
    <w:rsid w:val="00A758CE"/>
    <w:rsid w:val="00BB71D3"/>
    <w:rsid w:val="00BF0AB4"/>
    <w:rsid w:val="00C20462"/>
    <w:rsid w:val="00C63488"/>
    <w:rsid w:val="00C876D7"/>
    <w:rsid w:val="00CC0099"/>
    <w:rsid w:val="00CE3C95"/>
    <w:rsid w:val="00D07BE5"/>
    <w:rsid w:val="00D13EA9"/>
    <w:rsid w:val="00DA2FC1"/>
    <w:rsid w:val="00DD39CF"/>
    <w:rsid w:val="00E40CBA"/>
    <w:rsid w:val="00FC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F93E5C-D169-447E-8F65-774C23F0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sz w:val="24"/>
        <w:szCs w:val="24"/>
        <w:lang w:val="en-GB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8CE"/>
  </w:style>
  <w:style w:type="paragraph" w:styleId="Heading1">
    <w:name w:val="heading 1"/>
    <w:basedOn w:val="Normal"/>
    <w:next w:val="Normal"/>
    <w:uiPriority w:val="9"/>
    <w:qFormat/>
    <w:rsid w:val="00A758CE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A758CE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A758CE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A758CE"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A758CE"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A758CE"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A758C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sid w:val="00A758CE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sid w:val="00A758CE"/>
    <w:rPr>
      <w:color w:val="595959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48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48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48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nFi7xfX5uekJPpk6JFJNIuofYw==">CgMxLjA4AHIhMUZsZkNubWpqalVxaF9aWHJnemY2XzFtNzdRT0ZzUzFI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account</cp:lastModifiedBy>
  <cp:revision>31</cp:revision>
  <dcterms:created xsi:type="dcterms:W3CDTF">2025-10-28T16:20:00Z</dcterms:created>
  <dcterms:modified xsi:type="dcterms:W3CDTF">2025-12-02T12:19:00Z</dcterms:modified>
</cp:coreProperties>
</file>